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5EB2" w14:textId="77777777" w:rsidR="00B15323" w:rsidRDefault="00B15323" w:rsidP="00B15323"/>
    <w:p w14:paraId="6F1FC71A" w14:textId="77777777" w:rsidR="00B15323" w:rsidRDefault="00B15323" w:rsidP="00B15323">
      <w:pPr>
        <w:rPr>
          <w:rFonts w:ascii="Georgia Pro Cond Semibold" w:hAnsi="Georgia Pro Cond Semibold"/>
          <w:sz w:val="32"/>
          <w:szCs w:val="32"/>
        </w:rPr>
      </w:pPr>
      <w:r w:rsidRPr="00522206">
        <w:rPr>
          <w:rFonts w:ascii="Georgia Pro Cond Semibold" w:hAnsi="Georgia Pro Cond Semibold"/>
          <w:sz w:val="32"/>
          <w:szCs w:val="32"/>
        </w:rPr>
        <w:t>Exposições em Portugal</w:t>
      </w:r>
    </w:p>
    <w:p w14:paraId="6236DD1F" w14:textId="77777777" w:rsidR="00522206" w:rsidRPr="00522206" w:rsidRDefault="00522206" w:rsidP="00B15323">
      <w:pPr>
        <w:rPr>
          <w:rFonts w:ascii="Georgia Pro Cond Semibold" w:hAnsi="Georgia Pro Cond Semibold"/>
          <w:sz w:val="32"/>
          <w:szCs w:val="32"/>
        </w:rPr>
      </w:pPr>
    </w:p>
    <w:p w14:paraId="312614C7" w14:textId="372D18EE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Desde 1968 vem apresentando os seus trabalhos, nomeadamente em exposições individuais e </w:t>
      </w:r>
      <w:r w:rsidR="00522206" w:rsidRPr="00522206">
        <w:rPr>
          <w:rFonts w:ascii="Georgia" w:hAnsi="Georgia"/>
        </w:rPr>
        <w:t>coletivas</w:t>
      </w:r>
      <w:r w:rsidRPr="00522206">
        <w:rPr>
          <w:rFonts w:ascii="Georgia" w:hAnsi="Georgia"/>
        </w:rPr>
        <w:t xml:space="preserve">: </w:t>
      </w:r>
    </w:p>
    <w:p w14:paraId="1CF7D22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</w:p>
    <w:p w14:paraId="6A464DC0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Galerias Diário de Notícias, S. Francisco, S. Mamede, Tempo, S.N.B.A, Triângulo 48 e MAC em Lisboa</w:t>
      </w:r>
    </w:p>
    <w:p w14:paraId="2621BD4E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2 e Morada no Porto</w:t>
      </w:r>
    </w:p>
    <w:p w14:paraId="77682B28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Municipal da Amadora</w:t>
      </w:r>
    </w:p>
    <w:p w14:paraId="724C84DB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Escuderos em Beja</w:t>
      </w:r>
    </w:p>
    <w:p w14:paraId="7C91B1F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Arte Vária em Coimbra</w:t>
      </w:r>
    </w:p>
    <w:p w14:paraId="7C65BDB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Arco 8 nos Açores</w:t>
      </w:r>
    </w:p>
    <w:p w14:paraId="662C76C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Neupergama em Torres Novas</w:t>
      </w:r>
    </w:p>
    <w:p w14:paraId="52D604B7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Igreja Santiago em Palmela</w:t>
      </w:r>
    </w:p>
    <w:p w14:paraId="777FB871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Teatro Baltazar Dias na Madeira</w:t>
      </w:r>
    </w:p>
    <w:p w14:paraId="79D3D0B1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Grão Vasco em Viseu</w:t>
      </w:r>
    </w:p>
    <w:p w14:paraId="4DFA0A11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de Castelo Branco</w:t>
      </w:r>
    </w:p>
    <w:p w14:paraId="0C60FA15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de Setúbal</w:t>
      </w:r>
    </w:p>
    <w:p w14:paraId="7F66AB2D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de Santiago do Cacém</w:t>
      </w:r>
    </w:p>
    <w:p w14:paraId="20C1DC5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da Figueira da Foz</w:t>
      </w:r>
    </w:p>
    <w:p w14:paraId="482F3E0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Bienal da Maia 97</w:t>
      </w:r>
    </w:p>
    <w:p w14:paraId="576BDB33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Palácio D. Manuel em Évora</w:t>
      </w:r>
    </w:p>
    <w:p w14:paraId="5FC51E00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Casa do Corpo Santo em Setúbal</w:t>
      </w:r>
    </w:p>
    <w:p w14:paraId="281CC41D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Municipal de Abrantes</w:t>
      </w:r>
    </w:p>
    <w:p w14:paraId="729C4567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Mónica Pereira no Porto</w:t>
      </w:r>
    </w:p>
    <w:p w14:paraId="701F7B73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Artur Bual na Amadora</w:t>
      </w:r>
    </w:p>
    <w:p w14:paraId="02CFCE83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do Castelo S. Jorge em Lisboa</w:t>
      </w:r>
    </w:p>
    <w:p w14:paraId="79322212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Municipal de Seia</w:t>
      </w:r>
    </w:p>
    <w:p w14:paraId="13520C5F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Convento S. José em Lagoa</w:t>
      </w:r>
    </w:p>
    <w:p w14:paraId="4DB15E6B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Fórum Mário Viegas em Santarém</w:t>
      </w:r>
    </w:p>
    <w:p w14:paraId="28801AC5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do Cine-Teatro em Pombal</w:t>
      </w:r>
    </w:p>
    <w:p w14:paraId="558FC09F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Centro Cultural de Peniche</w:t>
      </w:r>
    </w:p>
    <w:p w14:paraId="06DD716D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Municipal Santo António em Monchique</w:t>
      </w:r>
    </w:p>
    <w:p w14:paraId="78551805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Municipal Espaço+ em Aljezur</w:t>
      </w:r>
    </w:p>
    <w:p w14:paraId="73876535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do Teatro de Vila Real</w:t>
      </w:r>
    </w:p>
    <w:p w14:paraId="2C42A9F3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lastRenderedPageBreak/>
        <w:t>Museu Martins Correia na Golegã</w:t>
      </w:r>
    </w:p>
    <w:p w14:paraId="147EA752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da Biblioteca Almeida Garrett no Porto</w:t>
      </w:r>
    </w:p>
    <w:p w14:paraId="59E5B8AC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Centro de Artes de Sines</w:t>
      </w:r>
    </w:p>
    <w:p w14:paraId="5CEA8E0D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Mosteiro de Alcobaça em Alcobaça</w:t>
      </w:r>
    </w:p>
    <w:p w14:paraId="2D587452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Centro Cultural de Bragança</w:t>
      </w:r>
    </w:p>
    <w:p w14:paraId="35734156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Espaço Rogério Ribeiro na Livraria Círculo das Letras em Lisboa</w:t>
      </w:r>
    </w:p>
    <w:p w14:paraId="219E4807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Galveias em Lisboa</w:t>
      </w:r>
    </w:p>
    <w:p w14:paraId="503DE878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Paços da Cultura na Guarda</w:t>
      </w:r>
    </w:p>
    <w:p w14:paraId="720C18B6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Armindo Teixeira Lopes em Mirandela</w:t>
      </w:r>
    </w:p>
    <w:p w14:paraId="551CE525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Moagem-Cidade do Engenho e das Artes no Fundão</w:t>
      </w:r>
    </w:p>
    <w:p w14:paraId="508F8CFD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do Diário de Notícias em Lisboa</w:t>
      </w:r>
    </w:p>
    <w:p w14:paraId="2E20A9DE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da AMI no Porto</w:t>
      </w:r>
    </w:p>
    <w:p w14:paraId="362168F7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do Jornal de Notícias no Porto</w:t>
      </w:r>
    </w:p>
    <w:p w14:paraId="3AC491DD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Biblioteca Municipal de Chaves</w:t>
      </w:r>
    </w:p>
    <w:p w14:paraId="221CA5B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Teixeira Lopes em Vila Nova de Gaia</w:t>
      </w:r>
    </w:p>
    <w:p w14:paraId="400E8D43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Integrado na exposição “Ecos do Fado na Arte Portuguesa Séculos XIX a XXI” no Pátio da Galé em Lisboa</w:t>
      </w:r>
    </w:p>
    <w:p w14:paraId="094E2221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de Lamego</w:t>
      </w:r>
    </w:p>
    <w:p w14:paraId="157FF6D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da Água em Lisboa</w:t>
      </w:r>
    </w:p>
    <w:p w14:paraId="692DB8C6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de Espinho</w:t>
      </w:r>
    </w:p>
    <w:p w14:paraId="1A166AE2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Fundação D. Luis I em Cascais</w:t>
      </w:r>
    </w:p>
    <w:p w14:paraId="690F299B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Nogueira da Silva em Braga</w:t>
      </w:r>
    </w:p>
    <w:p w14:paraId="05BC006B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Palácio D. Manuel I em Évora</w:t>
      </w:r>
    </w:p>
    <w:p w14:paraId="1868CBEF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Galeria Símbolo no Porto</w:t>
      </w:r>
    </w:p>
    <w:p w14:paraId="0764591C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Centro Cultural de Aljustrel</w:t>
      </w:r>
    </w:p>
    <w:p w14:paraId="2FBB2D03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Biblioteca Municipal de Vila Nova de Gaia</w:t>
      </w:r>
    </w:p>
    <w:p w14:paraId="3ABA9B84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do Desenho/Casa D. Dinis em Estremoz</w:t>
      </w:r>
    </w:p>
    <w:p w14:paraId="23ECDF1C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Francisco Tavares Proença Júnior em Castelo Branco</w:t>
      </w:r>
    </w:p>
    <w:p w14:paraId="51380BF0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Sociedade Martins Sarmento em Guimarães</w:t>
      </w:r>
    </w:p>
    <w:p w14:paraId="6E2EDD10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Fórum Municipal de Castro Verde</w:t>
      </w:r>
    </w:p>
    <w:p w14:paraId="16E397B7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Grão Vasco em Viseu</w:t>
      </w:r>
    </w:p>
    <w:p w14:paraId="34400659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Municipal de Tavira/Palácio da Galeria</w:t>
      </w:r>
    </w:p>
    <w:p w14:paraId="17404705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do Côa / Vila Nova de Foz Côa</w:t>
      </w:r>
    </w:p>
    <w:p w14:paraId="17F1579F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Tinturaria / Museu da Covilhã</w:t>
      </w:r>
    </w:p>
    <w:p w14:paraId="20BB2935" w14:textId="77777777" w:rsidR="00B15323" w:rsidRDefault="00B15323" w:rsidP="00B15323"/>
    <w:p w14:paraId="4728A3CE" w14:textId="77777777" w:rsidR="00B15323" w:rsidRDefault="00B15323" w:rsidP="00B15323"/>
    <w:p w14:paraId="3669C951" w14:textId="77777777" w:rsidR="00522206" w:rsidRDefault="00522206" w:rsidP="00B15323"/>
    <w:p w14:paraId="705271B6" w14:textId="77777777" w:rsidR="00522206" w:rsidRDefault="00522206" w:rsidP="00B15323"/>
    <w:p w14:paraId="7D20EF99" w14:textId="77777777" w:rsidR="00B15323" w:rsidRPr="00522206" w:rsidRDefault="00B15323" w:rsidP="00B15323">
      <w:pPr>
        <w:rPr>
          <w:rFonts w:ascii="Georgia Pro Cond Semibold" w:hAnsi="Georgia Pro Cond Semibold"/>
          <w:sz w:val="32"/>
          <w:szCs w:val="32"/>
        </w:rPr>
      </w:pPr>
      <w:r w:rsidRPr="00522206">
        <w:rPr>
          <w:rFonts w:ascii="Georgia Pro Cond Semibold" w:hAnsi="Georgia Pro Cond Semibold"/>
          <w:sz w:val="32"/>
          <w:szCs w:val="32"/>
        </w:rPr>
        <w:t xml:space="preserve">Notas Biográficas </w:t>
      </w:r>
    </w:p>
    <w:p w14:paraId="7394B1A5" w14:textId="4E9FB579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 xml:space="preserve">António Carmo nasceu em 1949 no Bairro da Madragoa em Lisboa, filho de gente ligada ao mar, mas foi criado pela madrinha de </w:t>
      </w:r>
      <w:r w:rsidR="00522206" w:rsidRPr="00522206">
        <w:rPr>
          <w:rFonts w:ascii="Georgia" w:hAnsi="Georgia"/>
        </w:rPr>
        <w:t>batismo</w:t>
      </w:r>
      <w:r w:rsidRPr="00522206">
        <w:rPr>
          <w:rFonts w:ascii="Georgia" w:hAnsi="Georgia"/>
        </w:rPr>
        <w:t>, tendo vivido sempre na capital.</w:t>
      </w:r>
    </w:p>
    <w:p w14:paraId="2A700AE4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Dada a sua apetência para o desenho e a conselho do seu professor, na adolescência, ingressa na Escola de Artes Decorativas António Arroio, onde cursou Pintura Decorativa. Ainda como estudante começa a frequentar as tertúlias de Lisboa, nomeadamente na Brasileira do Chiado, Café Tarantela, Café Vává, Leitaria Garrett, etc.</w:t>
      </w:r>
    </w:p>
    <w:p w14:paraId="275EA1B9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Na Brasileira, conheceu e conviveu com algumas das figuras conhecidas da cultura nacional, tais como Almada Negreiros, Abel Manta, Jorge Barradas e João Hogan que, em 1970 apadrinhou a sua exposição na Galeria Diário de Notícias, e outros que ainda hoje fazem parte do seu convívio diário, entre estes, Virgílio Domingues, Alberto Gordillo e Luís Lobato.</w:t>
      </w:r>
    </w:p>
    <w:p w14:paraId="746F0853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Dada a diversidade de interesses culturais que sempre manifestou, teve o privilégio de conviver com grandes vultos do mundo das artes, nomeadamente do bailado, cinema e literatura.</w:t>
      </w:r>
    </w:p>
    <w:p w14:paraId="629F5B5A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proofErr w:type="gramStart"/>
      <w:r w:rsidRPr="00522206">
        <w:rPr>
          <w:rFonts w:ascii="Georgia" w:hAnsi="Georgia"/>
        </w:rPr>
        <w:t>Amigo pessoal</w:t>
      </w:r>
      <w:proofErr w:type="gramEnd"/>
      <w:r w:rsidRPr="00522206">
        <w:rPr>
          <w:rFonts w:ascii="Georgia" w:hAnsi="Georgia"/>
        </w:rPr>
        <w:t xml:space="preserve"> de alguns dos nossos cantores e compositores, tais como Adriano Correia de Oliveira (que homenageou com um painel de azulejos em Avintes), Carlos do Carmo (executou a capa do LP O HOMEM NO PAÍS), Paulo de Carvalho, etc.</w:t>
      </w:r>
    </w:p>
    <w:p w14:paraId="168067A3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Em 1968 faz a sua primeira exposição individual, na Galeria Nacional de Arte em Lisboa. Nesse mesmo ano, ingressa no Grupo de Bailados Portugueses Verde Gaio, aí permanecendo por dezoito anos e onde conheceu alguns grandes nomes do bailado internacional. Nesse período, para além de participar como bailarino, fez ainda os figurinos e cenários para alguns bailados do Grupo.</w:t>
      </w:r>
    </w:p>
    <w:p w14:paraId="571486D2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Em 1970 é mobilizado para a Guiné (Guerra Colonial) e durante os 2 anos em que ali permanece, organiza algumas exposições e executa alguns murais; colabora no jornal A Voz da Guiné e faz uma pesquisa sobre a Arte Nalu.</w:t>
      </w:r>
    </w:p>
    <w:p w14:paraId="4984FF61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Regressa a Lisboa em 1972 e no ano seguinte promove na Galeria Opinião, uma exposição de reflexão e denúncia dessa mesma Guerra Colonial.</w:t>
      </w:r>
    </w:p>
    <w:p w14:paraId="0E4604F5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Depois de 25 de Abril de 1974, executa grandes murais nas Festas do Avante em conjunto com outros nomes da pintura, tais como: Rogério Ribeiro, Cipriano Dourado, Querubim Lapa, Jorge Vieira e Rogério do Amaral.</w:t>
      </w:r>
    </w:p>
    <w:p w14:paraId="2F38E0E1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A partir de então inicia uma carreira internacional sendo a sua primeira exposição na Galeria Solidair em Roterdão/Holanda, vindo a fixar-se temporariamente em Bruxelas onde há cerca de 22 anos mantém uma permanência constante nalgumas galerias, tais como: Galerie L’Oeil, Racines e, mais recentemente a Galerie Albert I.</w:t>
      </w:r>
    </w:p>
    <w:p w14:paraId="3417E238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lastRenderedPageBreak/>
        <w:t>Em Bruxelas, executa ainda dois murais de grandes dimensões para a ABEP (Associação de Portugueses Emigrados na Bélgica) que foram, recentemente, doados à Câmara de S. Gilles/Bruxelas.</w:t>
      </w:r>
    </w:p>
    <w:p w14:paraId="134E46F4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Dentro do espírito de divulgação cultural que está sempre presente na sua postura social, ilustrou durante alguns anos o “Suplemento Cultural” do matutino O Diário bem como outros jornais. Formou ainda o Grupo Paralelo, na Primavera de 1974, juntamente com alguns pintores e escultores: Adão Rodrigues, Alberto Gordillo, Álvaro Perdigão, António Trindade, Cipriano Dourado, Estevão Soares, Guilherme Casquilho, Teixeira Lopes, Ribeiro Farinha, Rogério Amaral e Virgílio Domingues. A ele aderiram posteriormente vários outros artistas plásticos, entre os quais Boavida Amaro, João Duarte, João Hogan, Jorge Vieira, José António Flores, Lurdes Freitas, Maurício Penha, Noémia Cruz e Querubim Lapa.</w:t>
      </w:r>
    </w:p>
    <w:p w14:paraId="3D04B27E" w14:textId="49D973E8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 xml:space="preserve">Nascido numa época ímpar da nossa História, o Paralelo foi também produto do sonho partilhado por quase todos os Portugueses de então, de construir um Portugal melhor, onde até a Cultura e a Arte tivessem a sua oportunidade. Os seus fundadores propunham-se sobretudo promover a divulgação </w:t>
      </w:r>
      <w:r w:rsidR="00522206" w:rsidRPr="00522206">
        <w:rPr>
          <w:rFonts w:ascii="Georgia" w:hAnsi="Georgia"/>
        </w:rPr>
        <w:t>das correntes</w:t>
      </w:r>
      <w:r w:rsidRPr="00522206">
        <w:rPr>
          <w:rFonts w:ascii="Georgia" w:hAnsi="Georgia"/>
        </w:rPr>
        <w:t xml:space="preserve"> estéticas das artes plásticas portuguesas, mirando o território virgem que a província representava e, se possível, </w:t>
      </w:r>
      <w:r w:rsidR="00522206" w:rsidRPr="00522206">
        <w:rPr>
          <w:rFonts w:ascii="Georgia" w:hAnsi="Georgia"/>
        </w:rPr>
        <w:t>projetando</w:t>
      </w:r>
      <w:r w:rsidRPr="00522206">
        <w:rPr>
          <w:rFonts w:ascii="Georgia" w:hAnsi="Georgia"/>
        </w:rPr>
        <w:t xml:space="preserve"> o voo </w:t>
      </w:r>
      <w:r w:rsidR="00522206" w:rsidRPr="00522206">
        <w:rPr>
          <w:rFonts w:ascii="Georgia" w:hAnsi="Georgia"/>
        </w:rPr>
        <w:t>além-fronteiras</w:t>
      </w:r>
      <w:r w:rsidRPr="00522206">
        <w:rPr>
          <w:rFonts w:ascii="Georgia" w:hAnsi="Georgia"/>
        </w:rPr>
        <w:t>. O veículo de propaganda eram, naturalmente, as exposições.</w:t>
      </w:r>
    </w:p>
    <w:p w14:paraId="784059EC" w14:textId="09B724CD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 xml:space="preserve">Pode dizer-se que ainda hoje, passados 34 anos, o Grupo Paralelo </w:t>
      </w:r>
      <w:proofErr w:type="gramStart"/>
      <w:r w:rsidRPr="00522206">
        <w:rPr>
          <w:rFonts w:ascii="Georgia" w:hAnsi="Georgia"/>
        </w:rPr>
        <w:t>mantém o mesmo</w:t>
      </w:r>
      <w:proofErr w:type="gramEnd"/>
      <w:r w:rsidRPr="00522206">
        <w:rPr>
          <w:rFonts w:ascii="Georgia" w:hAnsi="Georgia"/>
        </w:rPr>
        <w:t xml:space="preserve"> espírito e </w:t>
      </w:r>
      <w:r w:rsidR="00522206" w:rsidRPr="00522206">
        <w:rPr>
          <w:rFonts w:ascii="Georgia" w:hAnsi="Georgia"/>
        </w:rPr>
        <w:t>atividade</w:t>
      </w:r>
      <w:r w:rsidRPr="00522206">
        <w:rPr>
          <w:rFonts w:ascii="Georgia" w:hAnsi="Georgia"/>
        </w:rPr>
        <w:t xml:space="preserve"> que norteou a sua criação – a divulgação de várias tendências estéticas.</w:t>
      </w:r>
    </w:p>
    <w:p w14:paraId="57C69DE1" w14:textId="77777777" w:rsidR="00B15323" w:rsidRPr="00522206" w:rsidRDefault="00B15323" w:rsidP="00522206">
      <w:pPr>
        <w:spacing w:after="0" w:line="360" w:lineRule="auto"/>
        <w:jc w:val="both"/>
        <w:rPr>
          <w:rFonts w:ascii="Georgia" w:hAnsi="Georgia"/>
        </w:rPr>
      </w:pPr>
      <w:r w:rsidRPr="00522206">
        <w:rPr>
          <w:rFonts w:ascii="Georgia" w:hAnsi="Georgia"/>
        </w:rPr>
        <w:t>Do seu curriculum fazem parte inúmeras exposições tanto nacionais como estrangeiras que convida a ver na rubrica “EXPOSIÇÕES”.</w:t>
      </w:r>
    </w:p>
    <w:p w14:paraId="79A3B759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 </w:t>
      </w:r>
    </w:p>
    <w:p w14:paraId="18BDBFC7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</w:p>
    <w:p w14:paraId="4273053E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</w:p>
    <w:p w14:paraId="519CEE18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Representações Nacionais </w:t>
      </w:r>
    </w:p>
    <w:p w14:paraId="0C66EF01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Tavares Proença Júnior em Castelo Branco,</w:t>
      </w:r>
    </w:p>
    <w:p w14:paraId="63EBBC7F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Museu Armindo Teixeira Lopes em Mirandela, </w:t>
      </w:r>
    </w:p>
    <w:p w14:paraId="65AB4ABF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Museu Martins Correia na Golegã, </w:t>
      </w:r>
    </w:p>
    <w:p w14:paraId="775F6FD4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Grão Vasco em Viseu,</w:t>
      </w:r>
    </w:p>
    <w:p w14:paraId="23520E2E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Museu Diogo Gonçalves em Portimão,</w:t>
      </w:r>
    </w:p>
    <w:p w14:paraId="1DF6BF6C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Museu Municipal de Estremoz, </w:t>
      </w:r>
    </w:p>
    <w:p w14:paraId="1E1A5B5E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Museu Convento de Jesus em Setúbal, </w:t>
      </w:r>
    </w:p>
    <w:p w14:paraId="742FE369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Museu Caixa Geral de Depósitos em Lisboa, </w:t>
      </w:r>
    </w:p>
    <w:p w14:paraId="6C34312C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Museu do Desporto em Lisboa, </w:t>
      </w:r>
    </w:p>
    <w:p w14:paraId="294F52E8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lastRenderedPageBreak/>
        <w:t xml:space="preserve">Museu Dr. Santos Rocha na Figueira da Foz, </w:t>
      </w:r>
    </w:p>
    <w:p w14:paraId="632C53BD" w14:textId="0D2AE5B6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da Câmara Municipal da Amadora,</w:t>
      </w:r>
    </w:p>
    <w:p w14:paraId="3695621C" w14:textId="44BCB69F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Banco de Portugal, </w:t>
      </w:r>
    </w:p>
    <w:p w14:paraId="1BE1ADF5" w14:textId="003A2744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Instituto Cultural de Macau, </w:t>
      </w:r>
    </w:p>
    <w:p w14:paraId="3BDB450E" w14:textId="025F0C0F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Montepio Geral, </w:t>
      </w:r>
    </w:p>
    <w:p w14:paraId="65F4F4A3" w14:textId="0B68A3A4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Câmara Municipal de Lisboa, </w:t>
      </w:r>
    </w:p>
    <w:p w14:paraId="015A0728" w14:textId="539CC581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Câmara Municipal de Beja,</w:t>
      </w:r>
    </w:p>
    <w:p w14:paraId="75D13942" w14:textId="1EE5E384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Câmara Municipal de Palmela, </w:t>
      </w:r>
    </w:p>
    <w:p w14:paraId="768E8DDD" w14:textId="23F9ACD4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Câmara Municipal de Seixal,</w:t>
      </w:r>
    </w:p>
    <w:p w14:paraId="55E54A73" w14:textId="7D997ABB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de Câmara Municipal de Castro Verde,</w:t>
      </w:r>
    </w:p>
    <w:p w14:paraId="5865FEA9" w14:textId="033EFF27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do Banco Internacional do Funchal,</w:t>
      </w:r>
    </w:p>
    <w:p w14:paraId="5BE76DEA" w14:textId="03BE44C8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da Câmara Municipal de Peniche,</w:t>
      </w:r>
    </w:p>
    <w:p w14:paraId="58707FA6" w14:textId="71956255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do Palácio da Justiça no Barreiro,</w:t>
      </w:r>
    </w:p>
    <w:p w14:paraId="6EDDF4BE" w14:textId="5C29C638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da Sociedade Martins Sarmento em Guimarães,</w:t>
      </w:r>
    </w:p>
    <w:p w14:paraId="54031D60" w14:textId="076433F7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do Museu de Tavira,</w:t>
      </w:r>
    </w:p>
    <w:p w14:paraId="168ACB90" w14:textId="31B56806" w:rsidR="00B15323" w:rsidRPr="00522206" w:rsidRDefault="00522206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Coleção</w:t>
      </w:r>
      <w:r w:rsidR="00B15323" w:rsidRPr="00522206">
        <w:rPr>
          <w:rFonts w:ascii="Georgia" w:hAnsi="Georgia"/>
        </w:rPr>
        <w:t xml:space="preserve"> da Fundação D. Luis I em Cascais,</w:t>
      </w:r>
    </w:p>
    <w:p w14:paraId="65B00510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</w:p>
    <w:p w14:paraId="2CBF2808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ab/>
      </w:r>
    </w:p>
    <w:p w14:paraId="3C6F7FFE" w14:textId="77777777" w:rsidR="00B15323" w:rsidRPr="00522206" w:rsidRDefault="00B15323" w:rsidP="00522206">
      <w:pPr>
        <w:rPr>
          <w:rFonts w:ascii="Georgia Pro Cond Semibold" w:hAnsi="Georgia Pro Cond Semibold"/>
          <w:sz w:val="32"/>
          <w:szCs w:val="32"/>
        </w:rPr>
      </w:pPr>
      <w:r w:rsidRPr="00522206">
        <w:rPr>
          <w:rFonts w:ascii="Georgia Pro Cond Semibold" w:hAnsi="Georgia Pro Cond Semibold"/>
          <w:sz w:val="32"/>
          <w:szCs w:val="32"/>
        </w:rPr>
        <w:t xml:space="preserve">Representações internacionais </w:t>
      </w:r>
    </w:p>
    <w:p w14:paraId="1C8DF8E2" w14:textId="6A3BF221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Museus Montecatini em Itália, S. Antonio de Los Bãnos em Cuba, Palácio da Cultura na Bulgária, Angola, Pantwowe na Polónia, </w:t>
      </w:r>
      <w:r w:rsidR="00522206" w:rsidRPr="00522206">
        <w:rPr>
          <w:rFonts w:ascii="Georgia" w:hAnsi="Georgia"/>
        </w:rPr>
        <w:t>Coleção</w:t>
      </w:r>
      <w:r w:rsidRPr="00522206">
        <w:rPr>
          <w:rFonts w:ascii="Georgia" w:hAnsi="Georgia"/>
        </w:rPr>
        <w:t xml:space="preserve"> privada de Bodo Hüsing-Hoge na </w:t>
      </w:r>
      <w:r w:rsidR="00522206" w:rsidRPr="00522206">
        <w:rPr>
          <w:rFonts w:ascii="Georgia" w:hAnsi="Georgia"/>
        </w:rPr>
        <w:t>Suíça</w:t>
      </w:r>
      <w:r w:rsidRPr="00522206">
        <w:rPr>
          <w:rFonts w:ascii="Georgia" w:hAnsi="Georgia"/>
        </w:rPr>
        <w:t xml:space="preserve"> e Instituto Camões no Luxemburgo. </w:t>
      </w:r>
      <w:r w:rsidR="00522206" w:rsidRPr="00522206">
        <w:rPr>
          <w:rFonts w:ascii="Georgia" w:hAnsi="Georgia"/>
        </w:rPr>
        <w:t>Painéis</w:t>
      </w:r>
      <w:r w:rsidRPr="00522206">
        <w:rPr>
          <w:rFonts w:ascii="Georgia" w:hAnsi="Georgia"/>
        </w:rPr>
        <w:t xml:space="preserve"> de grandes dimensões na APEB em Bruxelas.</w:t>
      </w:r>
    </w:p>
    <w:p w14:paraId="0D91C621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Menções</w:t>
      </w:r>
    </w:p>
    <w:p w14:paraId="2C6A932A" w14:textId="3EDD437C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Portuguese 20th Century Artists de Michael Tannok, Dicionário dos Pintores e Escultores Portugueses de Fernando Pamplona, The World's Art Directory, Livro de Artistas em Portugal de Margarida Botelho, Artist Yearbook International, </w:t>
      </w:r>
      <w:r w:rsidR="00522206" w:rsidRPr="00522206">
        <w:rPr>
          <w:rFonts w:ascii="Georgia" w:hAnsi="Georgia"/>
        </w:rPr>
        <w:t>Aspetos</w:t>
      </w:r>
      <w:r w:rsidRPr="00522206">
        <w:rPr>
          <w:rFonts w:ascii="Georgia" w:hAnsi="Georgia"/>
        </w:rPr>
        <w:t xml:space="preserve"> das Artes Plásticas em Portugal de Fernando Infante do Carmo e </w:t>
      </w:r>
      <w:r w:rsidR="00522206" w:rsidRPr="00522206">
        <w:rPr>
          <w:rFonts w:ascii="Georgia" w:hAnsi="Georgia"/>
        </w:rPr>
        <w:t>Enciclopédia</w:t>
      </w:r>
      <w:r w:rsidRPr="00522206">
        <w:rPr>
          <w:rFonts w:ascii="Georgia" w:hAnsi="Georgia"/>
        </w:rPr>
        <w:t xml:space="preserve"> Luso-Brasileira Verbo/Edição 98.</w:t>
      </w:r>
    </w:p>
    <w:p w14:paraId="0F9C8E6C" w14:textId="376229BC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Brasil Arteshow 2005 de Enock Sacramento e Who</w:t>
      </w:r>
      <w:r w:rsidR="00522206">
        <w:rPr>
          <w:rFonts w:ascii="Georgia" w:hAnsi="Georgia"/>
        </w:rPr>
        <w:t>’</w:t>
      </w:r>
      <w:r w:rsidRPr="00522206">
        <w:rPr>
          <w:rFonts w:ascii="Georgia" w:hAnsi="Georgia"/>
        </w:rPr>
        <w:t>s Who of Australian Visual Artists.</w:t>
      </w:r>
    </w:p>
    <w:p w14:paraId="041088C0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 </w:t>
      </w:r>
    </w:p>
    <w:p w14:paraId="095AD41E" w14:textId="77777777" w:rsidR="00B15323" w:rsidRPr="00522206" w:rsidRDefault="00B15323" w:rsidP="00522206">
      <w:pPr>
        <w:rPr>
          <w:rFonts w:ascii="Georgia Pro Cond Semibold" w:hAnsi="Georgia Pro Cond Semibold"/>
          <w:sz w:val="32"/>
          <w:szCs w:val="32"/>
        </w:rPr>
      </w:pPr>
      <w:r w:rsidRPr="00522206">
        <w:rPr>
          <w:rFonts w:ascii="Georgia Pro Cond Semibold" w:hAnsi="Georgia Pro Cond Semibold"/>
          <w:sz w:val="32"/>
          <w:szCs w:val="32"/>
        </w:rPr>
        <w:t xml:space="preserve">Prémios de Ilustração </w:t>
      </w:r>
    </w:p>
    <w:p w14:paraId="7C88365F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Especial MAC 1997 Pintura MAC 2000.</w:t>
      </w:r>
    </w:p>
    <w:p w14:paraId="109AD28D" w14:textId="77777777" w:rsidR="00B15323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Carreira MAC 2007</w:t>
      </w:r>
    </w:p>
    <w:p w14:paraId="5E54B4DD" w14:textId="77777777" w:rsidR="00522206" w:rsidRPr="00522206" w:rsidRDefault="00522206" w:rsidP="00522206">
      <w:pPr>
        <w:spacing w:after="0" w:line="360" w:lineRule="auto"/>
        <w:rPr>
          <w:rFonts w:ascii="Georgia" w:hAnsi="Georgia"/>
        </w:rPr>
      </w:pPr>
    </w:p>
    <w:p w14:paraId="1E8C1E67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 </w:t>
      </w:r>
    </w:p>
    <w:p w14:paraId="00770B38" w14:textId="77777777" w:rsidR="00B15323" w:rsidRPr="00522206" w:rsidRDefault="00B15323" w:rsidP="00522206">
      <w:pPr>
        <w:rPr>
          <w:rFonts w:ascii="Georgia Pro Cond Semibold" w:hAnsi="Georgia Pro Cond Semibold"/>
          <w:sz w:val="32"/>
          <w:szCs w:val="32"/>
        </w:rPr>
      </w:pPr>
      <w:r w:rsidRPr="00522206">
        <w:rPr>
          <w:rFonts w:ascii="Georgia Pro Cond Semibold" w:hAnsi="Georgia Pro Cond Semibold"/>
          <w:sz w:val="32"/>
          <w:szCs w:val="32"/>
        </w:rPr>
        <w:lastRenderedPageBreak/>
        <w:t>Ilustrações</w:t>
      </w:r>
    </w:p>
    <w:p w14:paraId="71F626D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Em jornais e livros de vários autores portugueses.</w:t>
      </w:r>
    </w:p>
    <w:p w14:paraId="0B3D6C4A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 xml:space="preserve"> </w:t>
      </w:r>
    </w:p>
    <w:p w14:paraId="4E7011E6" w14:textId="77777777" w:rsidR="00B15323" w:rsidRPr="00522206" w:rsidRDefault="00B15323" w:rsidP="00522206">
      <w:pPr>
        <w:rPr>
          <w:rFonts w:ascii="Georgia Pro Cond Semibold" w:hAnsi="Georgia Pro Cond Semibold"/>
          <w:sz w:val="32"/>
          <w:szCs w:val="32"/>
        </w:rPr>
      </w:pPr>
      <w:r w:rsidRPr="00522206">
        <w:rPr>
          <w:rFonts w:ascii="Georgia Pro Cond Semibold" w:hAnsi="Georgia Pro Cond Semibold"/>
          <w:sz w:val="32"/>
          <w:szCs w:val="32"/>
        </w:rPr>
        <w:t xml:space="preserve">Artista Exclusivo </w:t>
      </w:r>
    </w:p>
    <w:p w14:paraId="3C6B752E" w14:textId="77777777" w:rsidR="00B15323" w:rsidRPr="00522206" w:rsidRDefault="00B15323" w:rsidP="00522206">
      <w:pPr>
        <w:spacing w:after="0" w:line="360" w:lineRule="auto"/>
        <w:rPr>
          <w:rFonts w:ascii="Georgia" w:hAnsi="Georgia"/>
        </w:rPr>
      </w:pPr>
      <w:r w:rsidRPr="00522206">
        <w:rPr>
          <w:rFonts w:ascii="Georgia" w:hAnsi="Georgia"/>
        </w:rPr>
        <w:t>Japan Arts Bank / Tokyo para o Japão e Galerie Albert I / Bruxelas para a Bélgica. Quadros em permanência nas Galerias Albert I em Bruxelas.</w:t>
      </w:r>
    </w:p>
    <w:p w14:paraId="35389253" w14:textId="77777777" w:rsidR="00F7705E" w:rsidRPr="00522206" w:rsidRDefault="00F7705E" w:rsidP="00522206">
      <w:pPr>
        <w:spacing w:after="0" w:line="360" w:lineRule="auto"/>
        <w:rPr>
          <w:rFonts w:ascii="Georgia" w:hAnsi="Georgia"/>
        </w:rPr>
      </w:pPr>
    </w:p>
    <w:sectPr w:rsidR="00F7705E" w:rsidRPr="0052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Semibold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5F"/>
    <w:rsid w:val="00335038"/>
    <w:rsid w:val="00424EF7"/>
    <w:rsid w:val="00512B5F"/>
    <w:rsid w:val="00522206"/>
    <w:rsid w:val="00B15323"/>
    <w:rsid w:val="00F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5EDC"/>
  <w15:chartTrackingRefBased/>
  <w15:docId w15:val="{A90BE11A-6F87-4023-ADE0-270E0539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F7"/>
  </w:style>
  <w:style w:type="paragraph" w:styleId="Ttulo1">
    <w:name w:val="heading 1"/>
    <w:basedOn w:val="Normal"/>
    <w:next w:val="Normal"/>
    <w:link w:val="Ttulo1Carter"/>
    <w:uiPriority w:val="9"/>
    <w:qFormat/>
    <w:rsid w:val="00424EF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24E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24E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24E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24E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24E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24E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24E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24E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24EF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24EF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24EF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24EF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24EF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24EF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24EF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24EF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24EF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24EF7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tulo">
    <w:name w:val="Title"/>
    <w:basedOn w:val="Normal"/>
    <w:next w:val="Normal"/>
    <w:link w:val="TtuloCarter"/>
    <w:uiPriority w:val="10"/>
    <w:qFormat/>
    <w:rsid w:val="00424E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24EF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24E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24EF7"/>
    <w:rPr>
      <w:rFonts w:asciiTheme="majorHAnsi" w:eastAsiaTheme="majorEastAsia" w:hAnsiTheme="majorHAnsi" w:cstheme="majorBidi"/>
    </w:rPr>
  </w:style>
  <w:style w:type="character" w:styleId="Forte">
    <w:name w:val="Strong"/>
    <w:basedOn w:val="Tipodeletrapredefinidodopargrafo"/>
    <w:uiPriority w:val="22"/>
    <w:qFormat/>
    <w:rsid w:val="00424EF7"/>
    <w:rPr>
      <w:b/>
      <w:bCs/>
    </w:rPr>
  </w:style>
  <w:style w:type="character" w:styleId="nfase">
    <w:name w:val="Emphasis"/>
    <w:basedOn w:val="Tipodeletrapredefinidodopargrafo"/>
    <w:uiPriority w:val="20"/>
    <w:qFormat/>
    <w:rsid w:val="00424EF7"/>
    <w:rPr>
      <w:i/>
      <w:iCs/>
    </w:rPr>
  </w:style>
  <w:style w:type="paragraph" w:styleId="SemEspaamento">
    <w:name w:val="No Spacing"/>
    <w:uiPriority w:val="1"/>
    <w:qFormat/>
    <w:rsid w:val="00424EF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24EF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424EF7"/>
    <w:pPr>
      <w:spacing w:before="120"/>
      <w:ind w:left="720" w:right="720"/>
      <w:jc w:val="center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24EF7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24EF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24EF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Discreta">
    <w:name w:val="Subtle Emphasis"/>
    <w:basedOn w:val="Tipodeletrapredefinidodopargrafo"/>
    <w:uiPriority w:val="19"/>
    <w:qFormat/>
    <w:rsid w:val="00424EF7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424EF7"/>
    <w:rPr>
      <w:b w:val="0"/>
      <w:bCs w:val="0"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424EF7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424EF7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424EF7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24E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Maria Quesada</dc:creator>
  <cp:keywords/>
  <dc:description/>
  <cp:lastModifiedBy>Emília Maria Quesada</cp:lastModifiedBy>
  <cp:revision>2</cp:revision>
  <dcterms:created xsi:type="dcterms:W3CDTF">2024-01-30T15:49:00Z</dcterms:created>
  <dcterms:modified xsi:type="dcterms:W3CDTF">2024-01-30T15:49:00Z</dcterms:modified>
</cp:coreProperties>
</file>